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0"/>
        <w:jc w:val="center"/>
        <w:spacing w:after="700" w:line="244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ФОРМА ОБОСНОВАНИЯ НМЦ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40"/>
        <w:jc w:val="center"/>
        <w:spacing w:after="642" w:line="288" w:lineRule="auto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</w:rPr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spacing w:after="0" w:line="288" w:lineRule="auto"/>
        <w:rPr>
          <w:rFonts w:ascii="Times New Roman" w:hAnsi="Times New Roman" w:eastAsia="Times New Roman" w:cs="Times New Roman"/>
          <w:b/>
          <w:sz w:val="26"/>
        </w:rPr>
      </w:pPr>
      <w:r>
        <w:rPr>
          <w:rFonts w:ascii="Times New Roman" w:hAnsi="Times New Roman" w:eastAsia="Times New Roman" w:cs="Times New Roman"/>
          <w:b/>
          <w:sz w:val="26"/>
        </w:rPr>
        <w:t xml:space="preserve">1. Общая информация</w:t>
      </w:r>
      <w:r>
        <w:rPr>
          <w:rFonts w:ascii="Times New Roman" w:hAnsi="Times New Roman" w:eastAsia="Times New Roman" w:cs="Times New Roman"/>
          <w:b/>
          <w:sz w:val="26"/>
        </w:rPr>
      </w:r>
      <w:r>
        <w:rPr>
          <w:rFonts w:ascii="Times New Roman" w:hAnsi="Times New Roman" w:eastAsia="Times New Roman" w:cs="Times New Roman"/>
          <w:b/>
          <w:sz w:val="26"/>
        </w:rPr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2410"/>
        <w:gridCol w:w="6089"/>
      </w:tblGrid>
      <w:tr>
        <w:tblPrEx/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auto"/>
              <w:rPr>
                <w:rFonts w:ascii="Times New Roman" w:hAnsi="Times New Roman" w:eastAsia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4" w:lineRule="auto"/>
            </w:pPr>
            <w:r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60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4" w:lineRule="auto"/>
            </w:pPr>
            <w:r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  <w:t xml:space="preserve">Информация по лоту</w:t>
            </w:r>
            <w:r/>
          </w:p>
        </w:tc>
      </w:tr>
      <w:tr>
        <w:tblPrEx/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846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1.1.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41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лота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6089" w:type="dxa"/>
            <w:vAlign w:val="center"/>
            <w:textDirection w:val="lrTb"/>
            <w:noWrap w:val="false"/>
          </w:tcPr>
          <w:p>
            <w:pPr>
              <w:pStyle w:val="693"/>
              <w:ind w:left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ОКПД2 71.12.1 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 г. Хабаровск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846" w:type="dxa"/>
            <w:textDirection w:val="lrTb"/>
            <w:noWrap w:val="false"/>
          </w:tcPr>
          <w:p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Номер лота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  <w:t xml:space="preserve">№ 22120002-ТПИР ОБСЛ-2026-ДГК-ХТЭЦ1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13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846" w:type="dxa"/>
            <w:vAlign w:val="center"/>
            <w:textDirection w:val="lrTb"/>
            <w:noWrap w:val="false"/>
          </w:tcPr>
          <w:p>
            <w:pPr>
              <w:spacing w:after="0" w:line="244" w:lineRule="auto"/>
            </w:pPr>
            <w:r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  <w:t xml:space="preserve">1.3.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 w:line="244" w:lineRule="auto"/>
            </w:pPr>
            <w:r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  <w:t xml:space="preserve">НМЦ 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Lucida Sans Unicode" w:cs="Times New Roman"/>
                <w:i/>
              </w:rPr>
            </w:r>
            <w:r>
              <w:rPr>
                <w:rFonts w:ascii="Times New Roman" w:hAnsi="Times New Roman" w:eastAsia="Lucida Sans Unicode" w:cs="Times New Roman"/>
                <w:i/>
              </w:rPr>
              <w:t xml:space="preserve">3 909 166,67</w:t>
            </w:r>
            <w:r>
              <w:rPr>
                <w:rFonts w:ascii="Times New Roman" w:hAnsi="Times New Roman" w:eastAsia="Lucida Sans Unicode" w:cs="Times New Roman"/>
                <w:i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</w:rPr>
              <w:t xml:space="preserve">рублей без учета НДС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/>
          </w:p>
        </w:tc>
      </w:tr>
    </w:tbl>
    <w:p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>
      <w:pPr>
        <w:rPr>
          <w:rFonts w:ascii="Times New Roman" w:hAnsi="Times New Roman" w:cs="Times New Roman" w:eastAsiaTheme="minorHAnsi"/>
          <w:b/>
          <w:sz w:val="26"/>
          <w:szCs w:val="26"/>
          <w:lang w:eastAsia="en-US"/>
        </w:rPr>
      </w:pPr>
      <w:r>
        <w:rPr>
          <w:rFonts w:ascii="Times New Roman" w:hAnsi="Times New Roman" w:cs="Times New Roman" w:eastAsiaTheme="minorHAnsi"/>
          <w:b/>
          <w:sz w:val="26"/>
          <w:szCs w:val="26"/>
          <w:lang w:eastAsia="en-US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 w:eastAsiaTheme="minorHAnsi"/>
          <w:b/>
          <w:sz w:val="26"/>
          <w:szCs w:val="26"/>
          <w:lang w:eastAsia="en-US"/>
        </w:rPr>
      </w:r>
      <w:r>
        <w:rPr>
          <w:rFonts w:ascii="Times New Roman" w:hAnsi="Times New Roman" w:cs="Times New Roman" w:eastAsiaTheme="minorHAnsi"/>
          <w:b/>
          <w:sz w:val="26"/>
          <w:szCs w:val="26"/>
          <w:lang w:eastAsia="en-US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szCs w:val="28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  <w:t xml:space="preserve">Метод анализа: </w:t>
      </w:r>
      <w:r>
        <w:rPr>
          <w:rFonts w:ascii="Times New Roman" w:hAnsi="Times New Roman" w:eastAsia="Times New Roman" w:cs="Times New Roman"/>
          <w:szCs w:val="28"/>
          <w:lang w:bidi="ru-RU"/>
        </w:rPr>
        <w:t xml:space="preserve">технико-коммерческие предложения </w:t>
      </w:r>
      <w:r>
        <w:rPr>
          <w:rFonts w:ascii="Times New Roman" w:hAnsi="Times New Roman" w:eastAsia="Times New Roman" w:cs="Times New Roman"/>
          <w:szCs w:val="28"/>
          <w:lang w:bidi="ru-RU"/>
        </w:rPr>
      </w:r>
      <w:r>
        <w:rPr>
          <w:rFonts w:ascii="Times New Roman" w:hAnsi="Times New Roman" w:eastAsia="Times New Roman" w:cs="Times New Roman"/>
          <w:szCs w:val="28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highlight w:val="none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  <w:t xml:space="preserve">Обоснование расчета НМЦ: </w:t>
      </w:r>
      <w:r>
        <w:rPr>
          <w:rFonts w:ascii="Times New Roman" w:hAnsi="Times New Roman" w:eastAsia="Times New Roman" w:cs="Times New Roman"/>
          <w:highlight w:val="none"/>
          <w:lang w:bidi="ru-RU"/>
        </w:rPr>
      </w:r>
      <w:r>
        <w:rPr>
          <w:rFonts w:ascii="Times New Roman" w:hAnsi="Times New Roman" w:eastAsia="Times New Roman" w:cs="Times New Roman"/>
          <w:highlight w:val="none"/>
          <w:lang w:bidi="ru-RU"/>
        </w:rPr>
      </w:r>
    </w:p>
    <w:tbl>
      <w:tblPr>
        <w:tblStyle w:val="852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>
        <w:tblPrEx/>
        <w:trPr/>
        <w:tc>
          <w:tcPr>
            <w:tcW w:w="19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источника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ценовой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(ИЦИ)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итоговая,   в руб. без НДС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Комментарий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</w:tr>
      <w:tr>
        <w:tblPrEx/>
        <w:trPr>
          <w:trHeight w:val="1314"/>
        </w:trPr>
        <w:tc>
          <w:tcPr>
            <w:tcW w:w="1914" w:type="dxa"/>
            <w:vMerge w:val="restart"/>
            <w:textDirection w:val="lrTb"/>
            <w:noWrap w:val="false"/>
          </w:tcPr>
          <w:p>
            <w:pPr>
              <w:pStyle w:val="693"/>
              <w:ind w:left="0"/>
              <w:spacing w:after="0" w:line="240" w:lineRule="auto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  <w:highlight w:val="none"/>
              </w:rPr>
            </w:r>
          </w:p>
          <w:p>
            <w:pPr>
              <w:pStyle w:val="693"/>
              <w:ind w:left="0"/>
              <w:spacing w:after="0" w:line="240" w:lineRule="auto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  <w:highlight w:val="none"/>
              </w:rPr>
            </w:r>
          </w:p>
          <w:p>
            <w:pPr>
              <w:pStyle w:val="693"/>
              <w:ind w:left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ОКПД2 71.12.1 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 г. Хабаровск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693"/>
              <w:ind w:left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textDirection w:val="lrTb"/>
            <w:noWrap w:val="false"/>
          </w:tcPr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i/>
                <w:highlight w:val="none"/>
              </w:rPr>
              <w:t xml:space="preserve">4 800 000,00</w:t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7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  значение полученных ТКП: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i/>
                <w:highlight w:val="none"/>
              </w:rPr>
            </w:r>
            <w:r>
              <w:rPr>
                <w:rFonts w:ascii="Times New Roman" w:hAnsi="Times New Roman" w:eastAsia="Lucida Sans Unicode" w:cs="Times New Roman"/>
                <w:i/>
              </w:rPr>
              <w:t xml:space="preserve">3 909 166,67</w:t>
            </w:r>
            <w:r>
              <w:rPr>
                <w:rFonts w:ascii="Times New Roman" w:hAnsi="Times New Roman" w:eastAsia="Lucida Sans Unicode" w:cs="Times New Roman"/>
                <w:i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 руб. без НДС</w:t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textDirection w:val="lrTb"/>
            <w:noWrap w:val="false"/>
          </w:tcPr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</w:tr>
      <w:tr>
        <w:tblPrEx/>
        <w:trPr>
          <w:trHeight w:val="1290"/>
        </w:trPr>
        <w:tc>
          <w:tcPr>
            <w:tcW w:w="191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1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textDirection w:val="lrTb"/>
            <w:noWrap w:val="false"/>
          </w:tcPr>
          <w:p>
            <w:pPr>
              <w:rPr>
                <w:bCs/>
                <w:i/>
              </w:rPr>
            </w:pPr>
            <w:r>
              <w:rPr>
                <w:i/>
                <w:iCs/>
              </w:rPr>
            </w: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4 058 333</w:t>
            </w: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,33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14" w:type="dxa"/>
            <w:textDirection w:val="lrTb"/>
            <w:noWrap w:val="false"/>
          </w:tcPr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</w:tr>
      <w:tr>
        <w:tblPrEx/>
        <w:trPr/>
        <w:tc>
          <w:tcPr>
            <w:tcW w:w="191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vMerge w:val="restart"/>
            <w:textDirection w:val="lrTb"/>
            <w:noWrap w:val="false"/>
          </w:tcPr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i/>
                <w:highlight w:val="none"/>
              </w:rPr>
              <w:t xml:space="preserve">2 869 166,67</w:t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  <w:tc>
          <w:tcPr>
            <w:tcW w:w="191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14" w:type="dxa"/>
            <w:vMerge w:val="restart"/>
            <w:textDirection w:val="lrTb"/>
            <w:noWrap w:val="false"/>
          </w:tcPr>
          <w:p>
            <w:pPr>
              <w:spacing w:after="60" w:line="244" w:lineRule="exact"/>
              <w:widowControl w:val="off"/>
              <w:rPr>
                <w:rFonts w:ascii="Times New Roman" w:hAnsi="Times New Roman" w:eastAsia="Times New Roman" w:cs="Times New Roman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  <w:r>
              <w:rPr>
                <w:rFonts w:ascii="Times New Roman" w:hAnsi="Times New Roman" w:eastAsia="Times New Roman" w:cs="Times New Roman"/>
                <w:lang w:bidi="ru-RU"/>
              </w:rPr>
            </w:r>
          </w:p>
        </w:tc>
      </w:tr>
    </w:tbl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p>
      <w:pPr>
        <w:spacing w:after="60" w:line="244" w:lineRule="exact"/>
        <w:widowControl w:val="off"/>
        <w:rPr>
          <w:rFonts w:ascii="Times New Roman" w:hAnsi="Times New Roman" w:eastAsia="Times New Roman" w:cs="Times New Roman"/>
          <w:lang w:bidi="ru-RU"/>
        </w:rPr>
      </w:pP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  <w:r>
        <w:rPr>
          <w:rFonts w:ascii="Times New Roman" w:hAnsi="Times New Roman" w:eastAsia="Times New Roman" w:cs="Times New Roman"/>
          <w:lang w:bidi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ucida Sans Unicode">
    <w:panose1 w:val="020B06030308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link w:val="66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table" w:styleId="852">
    <w:name w:val="Table Grid"/>
    <w:basedOn w:val="682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starodubtseva_nv</cp:lastModifiedBy>
  <cp:revision>26</cp:revision>
  <dcterms:created xsi:type="dcterms:W3CDTF">2023-01-18T04:54:00Z</dcterms:created>
  <dcterms:modified xsi:type="dcterms:W3CDTF">2026-02-04T05:35:38Z</dcterms:modified>
</cp:coreProperties>
</file>